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Science Analyst III - Enterprise Data &amp; Analytics - Digital and Technology Partners - Hybrid/Onsite opportunity with Mount Sinai Morningside. I am interested in this opportunity because Mount Sinai’s reputation for integrating advanced analytics and AI into patient care aligns with my passion for using data to drive operational excellence. What interests me about working for Mount Sinai is its commitment to being a 'Smart Hospital' that prioritizes evidence-based decision-making, which inspires me because I am eager to apply my technical background to clinical environments. I believe my expertise in ETL pipelines and advanced data modeling, and my experience in cross-functional stakeholder communication would make me a strong candidate for this role. During my professional career, I have approached complex operational problems by bridging the gap between raw data and actionable strategy. In fact, at Shine Masters, I identified that manual reporting was causing significant bottlenecks; I built interactive Power BI dashboards and automated data pipelines that replaced outdated processes, reducing processing time by 40% and improving overall team efficiency by 25%. Ultimately, I know that the Data Science Analyst III role at Mount Sinai would allow me to bring my proficiency in SQL and Python to support the Clinical Command Center in generating actionable intelligence. Additionally, my role as a Full-Stack Software Developer at Haven Technologies enabled me to develop my Agile and documentation skills. I collaborated with underwriting and UI/UX teams to reconcile insurance testing data using complex SQL queries and window functions, which increased data accuracy by 30% and reduced project delivery delays by 25%. I’m excited by the opportunity to use my background in data mining and process improvement in working on patient throughput and operational awareness at Mount Sinai. I know that my technical analytical skills and commitment to data integrity align with what it takes to succeed at the Data Science Analyst III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