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AFC Systems Data Analyst opportunity with Partnership Employment. I am interested in this opportunity because of my technical foundation in SQL and Python and my deep desire to transition my analytical expertise into the complex, mission-critical space of financial crime compliance. What interests me about working for Partnership Employment is its robust approach to data integrity and regulatory excellence, which inspires me because I am passionate about utilizing data to mitigate systemic risk and ensure institutional compliance. I believe my technical proficiency in database reconciliation and my detail-oriented approach to data governance would make me a strong candidate for this role. During my professional career, I have approached complex data problems by prioritizing accuracy and systematic validation. In fact, while working at Haven Technologies, I optimized relational database queries to clean and reconcile insurance testing data, which improved overall data accuracy by 30%. This project required high-level data lineage analysis and the creation of reliable, well-documented data structures that directly minimized project delays and improved team output. Ultimately, I know that the AFC Systems Data Analyst role at Partnership Employment would allow me to bring my experience in database integrity to the key responsibility of ensuring consistent performance across transaction surveillance platforms. Additionally, my role as a Data Analyst at Shine Masters Cleaning Services enabled me to develop my skills in building automated reporting and monitoring frameworks. I was tasked with replacing manual reporting with interactive dashboards, which reduced data processing time by 40% and accelerated executive decision-making. I’m excited by the opportunity to use my background in ETL and data quality validation in working on the development and calibration of detection systems at Partnership Employment. I know that my technical agility and commitment to compliance documentation align with what it takes to succeed in the AFC Systems Data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