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Finance Analyst 4 - Contingent opportunity with PTR Global. I am interested in this opportunity because of my background in high-stakes loan portfolio analysis and my desire to apply rigorous data-driven methodologies to financial forecasting. What interests me about working for PTR Global is its reputation as a leading provider of workforce and IT solutions; the intersection of complex financial operations and high-level analytical strategy at your firm truly intrigues me. I believe my proficiency in SQL-driven financial modeling and my experience with large-scale data architecture would make me a strong candidate for this role. During my professional career, I have approached complex data challenges with a focus on accuracy and automation. In fact, at my previous project, I analyzed a 2M+ row loan portfolio to identify borrower risk profiles; I developed a PostgreSQL data model and ETL pipeline that processed 150+ columns to support granular risk analysis. This resulted in improved reporting accuracy and enabled the team to effectively segment high-risk borrowers. Ultimately, I know that the Finance Analyst 4 - Contingent role at PTR Global would allow me to bring my technical expertise to your financial planning and budgeting initiatives. Additionally, my role as a Data Analyst at Shine Masters Cleaning Services enabled me to develop my financial forecasting and process optimization skills. I developed interactive Power BI dashboards and automated intake workflows that reduced processing time by 40% and improved team efficiency by 25%. This experience in mapping complex process flows ensures I can hit the ground running with PTR Global's analytical needs. I’m excited by the opportunity to use my SQL, Python, and data quality assurance skills in working on the critical loan exposure and liquidity tasks at PTR Global. I know that my quantitative analysis abilities and technical rigor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