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AI Senior Associate opportunity with PwC. I am interested in this opportunity because of PwC’s reputation for driving trust and innovation through data-driven assurance. What interests me about working for PwC is its commitment to shaping the future of AI governance and ethical technology, which intrigues me because of my own passion for building reliable, scalable, and transparent data architectures. I believe my proficiency in data governance and my analytical approach to model validation would make me a strong candidate for this role. During my professional career, I have approached problems by prioritizing data integrity and stakeholder alignment. In fact, while at Shine Masters, I implemented a new data governance framework to standardize KPIs and reporting, which bridged the gap between raw data and growth strategy. By replacing manual reporting with automated Python workflows and rigorous validation, I reduced data discrepancies and improved reporting accuracy, directly impacting the company's ability to make informed decisions. Ultimately, I know that the AI Senior Associate role at PwC would allow me to bring my experience in data governance to evaluate and assess AI solutions for compliance and transparency. Additionally, my role as a Data Analyst &amp; Operations Lead at Shine Masters enabled me to develop my model evaluation skills. I designed and executed A/B tests to measure campaign response, which required building statistical models to assess performance and inform resource allocation. This work ensured that every marketing initiative was backed by sound statistical evidence, resulting in a 300% increase in revenue for targeted segments. I’m excited by the opportunity to use my background in automation and data lifecycle management in working on AI/ML control efforts at PwC. I know that my technical expertise in Python/SQL and my focus on governance align with what it takes to succeed at the AI Senior Associate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