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Transaction Services - Data Analytics Senior Associate opportunity with Riveron. I am interested in this opportunity because of Riveron’s commitment to providing data-driven, strategic insights that solve complex finance challenges for private equity and corporate clients. What interests me about working for Riveron is its unique DELTA values—Drive, Excellence, Leadership, Teamwork, and Accountability—which align perfectly with my professional philosophy of delivering impactful results through analytical rigor. I believe my expertise in Python and SQL-based data modeling and my ability to translate complex datasets into actionable financial intelligence would make me a strong candidate for this role. During my professional career, I have approached problems by focusing on the intersection of data integrity and operational efficiency. In fact, at Shine Masters, I identified that manual data processing was a bottleneck; I developed interactive Power BI dashboards and automated intake workflows, which reduced processing time by 40%. Ultimately, I know that the Transaction Services - Data Analytics Senior Associate role at Riveron would allow me to bring my data management expertise to support high-stakes M&amp;A and due diligence processes. Additionally, my role as a Data Analytics Fellow at COOP Careers enabled me to develop my statistical and data storytelling skills. I analyzed a 250K+ row dataset to identify demographic and geographic trends for city safety initiatives, delivering a presentation that allowed stakeholders to make informed, evidence-based decisions. I am excited by the opportunity to use my background in building end-to-end ETL pipelines in working on complex transaction data and M&amp;A models at Riveron. I know that my technical proficiency and analytical mindset align with what it takes to succeed at the Transaction Services - Data Analytics Senior Associate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