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Lead Business Intelligence Analyst opportunity with Robert Half. I am interested in this opportunity because of the firm's reputation for driving data-informed strategy and the critical nature of the reporting functions required for your healthcare and pharmaceutical clients. What interests me about working for Robert Half is its commitment to operational excellence and providing actionable insights to complex business problems, which perfectly aligns with my background in transforming raw data into high-impact visual intelligence. I believe my advanced proficiency in SQL-driven data investigations and my experience developing sophisticated Power BI dashboards would make me a strong candidate for this role. During my professional career, I have approached problems by focusing on the intersection of data accuracy and stakeholder utility. In fact, while at Shine Masters, I identified a bottleneck in our reporting cycle; I developed an automated data pipeline and replaced static spreadsheets with dynamic Power BI dashboards. By implementing drill-through capabilities, I empowered executives to investigate anomalies at the source, which reduced manual data processing time by 40% and directly accelerated key decision-making. Ultimately, I know that the Lead Business Intelligence Analyst role at Robert Half would allow me to bring my expertise in data aggregation and quality control to support your pharmaceutical manufacturer clients. Additionally, my role as a Full-Stack Software Developer at Haven Technologies (MassMutual) enabled me to develop my skills in enterprise-grade database management. I spent time optimizing complex relational queries and stored procedures to ensure seamless data flow within a highly regulated environment, familiarizing myself with the importance of data privacy standards. I’m excited by the opportunity to use my SQL and statistical analysis skills in working on the reporting and trend analysis needs at Robert Half. I know that my technical versatility and commitment to client success align with what it takes to succeed as a Lead Business Intelligence Analyst.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