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Fraud Intelligence Analyst opportunity with SentiLink. I am interested in this opportunity because of SentiLink’s pioneering work in identity verification and your commitment to replacing outdated, ineffective fraud prevention systems with high-velocity, data-driven solutions. What interests me about working for SentiLink is your clear impact on the financial services industry, and the company's reputation as a FICO Industry Vanguard winner intrigues me because it demonstrates an aggressive, innovative approach to solving complex problems that I am eager to contribute to. I believe my background in complex data modeling and my ability to derive actionable insights from high-volume datasets would make me a strong candidate for this role. During my professional career, I have approached problems with a focus on translating raw information into clear, strategic narratives. In fact, while analyzing a 2M+ row loan portfolio, I performed extensive EDA and feature engineering to isolate specific borrower behaviors that signal credit risk. By building an end-to-end ETL pipeline and identifying key risk indicators, I provided actionable insights that allowed for the successful segmentation of high-risk populations, directly enhancing decision-making capabilities. Ultimately, I know that the Fraud Intelligence Analyst role at SentiLink would allow me to bring my analytical rigor to support the Fraud Intelligence Team in investigating and labeling fraud cases at scale. Additionally, my role as a Data Analyst at Shine Masters Cleaning Services enabled me to develop my cross-functional collaboration skills. I spearheaded the transition from manual reporting to automated Power BI dashboards, which required deep coordination with operations and executive leadership. This initiative reduced processing time by 40% and directly accelerated the company's ability to identify and address performance bottlenecks. I’m excited by the opportunity to use my SQL and Python expertise in working on the evolving challenges of fraud detection at SentiLink. I know that my background in data modeling and my commitment to high-volume, detailed analysis align with what it takes to succeed at the Fraud Intelligence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