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Shields Group Search. I am interested in this opportunity because of your commitment to modernizing the opaque private banking landscape; the challenge of building infrastructure for fine art and real estate markets resonates deeply with my background in computer science and data engineering. What interests me about working for Shields Group Search is its focus on high-impact, scalable systems that directly empower independent wealth managers, which intrigues me because of the potential to innovate in a sector currently ripe for digital transformation. I believe my expertise in architecting production-grade ELT pipelines and my proficiency in building automated, test-driven systems would make me a strong candidate for this role. During my career, I have approached complex data problems by focusing on end-to-end reliability and clean code. In fact, while building a production-grade ELT pipeline for economic data, I utilized Python, Airflow, and dbt to model complex API data into a star schema while implementing Great Expectations for rigorous data quality validation. This resulted in significant reductions in analyst query times and established a repeatable framework for data governance that I am eager to apply at Shields Group Search. Ultimately, I know that the Data Engineer role at Shields Group Search would allow me to bring my technical rigor to architecting scalable data systems. Additionally, my role as a Full-Stack Software Developer at Haven Technologies (MassMutual) enabled me to develop my fintech-adjacent data skills. By collaborating with stakeholders and engineers to synchronize data across systems using SQL, I drove a 15% increase in feature adoption and improved data accuracy by 60%, experience that directly translates to the high-stakes environment of your wealth infrastructure platform. I am excited by the opportunity to use my hands-on experience with agentic systems and modern data tooling in working on the next generation of private banking tools at Shields Group Search. I know that my technical versatility and commitment to high-performance output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