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Compliance Data Analyst opportunity with Smith Arnold Partners. I am interested in this opportunity because of the firm’s reputation as a global fintech leader that balances rapid innovation with rigorous regulatory integrity. What interests me about working for Smith Arnold Partners is its approach to viewing compliance as a strategic driver of trust and operational excellence, which resonates with my own philosophy that high-quality data is the foundation of sound business decision-making. I believe my expertise in complex data architecture and my proactive approach to operational optimization would make me a strong candidate for this role. During my professional career, I have approached problems by prioritizing data integrity and process transparency. In fact, while at Haven Technologies, I optimized relational database queries to reconcile large-scale insurance testing data, which improved data accuracy by 30%. This experience required me to map complex data relationships and document schemas—skills I am eager to apply to your regulatory reporting and data governance frameworks. Ultimately, I know that the Senior Compliance Data Analyst role at Smith Arnold Partners would allow me to bring my technical proficiency in SQL and Python to streamline your data quality initiatives. Additionally, my role as a Data Analyst &amp; Operations Lead at Shine Masters enabled me to develop my cross-functional collaboration and automated workflow skills. I led the development of interactive Power BI dashboards and automated intake workflows using Zapier, which reduced data processing time by 40%. These projects required a high degree of precision and coordination across team boundaries. I’m excited by the opportunity to use my background in data modeling and automated reporting to work on enterprise-level compliance challenges at Smith Arnold Partners. I know that my technical versatility and commitment to documentation align with what it takes to succeed at the Senior Compliance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