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Visiting Intern Summer 2026 opportunity with Stevens Institute of Technology. I am interested in this opportunity because of the intersection between data science and workforce development, particularly in the critical infrastructure sector where data-driven insights can significantly enhance cybersecurity training outcomes. What interests me about working for Stevens is its prestigious reputation in the Geomechanics department and its commitment to tackling complex regional security challenges, which inspires me because of my own background in engineering robust data pipelines for actionable decision-making. I believe my expertise in Python-based automation and my proficiency in statistical data analysis would make me a strong candidate for this role. During my professional career, I have approached problems by translating messy, raw data into structured insights. In fact, while at Shine Masters, I identified a gap in data reporting and built an automated Python ETL pipeline that integrated disparate CRM and POS datasets. This initiative eliminated manual entry, saved the team 8 hours per week, and created a 'single source of truth' for KPIs, which directly correlates to the tracking and documentation requirements for your training and assessment project. Ultimately, I know that the Visiting Intern Summer 2026 role at Stevens Institute of Technology would allow me to bring my data engineering skills to help track recruitment and participant outcomes effectively. Additionally, my role as a Data Analytics Fellow at COOP Careers enabled me to develop my survey analysis and data storytelling skills. I conducted a comprehensive analysis of a 250K+ row dataset, identifying demographic and behavioral clusters, and translated these findings into an interactive Tableau dashboard for stakeholders. I am excited by the opportunity to use my visualization and analysis skills in working on program impact tracking at Stevens. I know that my technical proficiency in SQL and Python and my experience in building dashboards align with what it takes to succeed at the Visiting Intern Summer 2026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