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TalentAlly</w:t>
        <w:br/>
        <w:br/>
        <w:t>Dear Hiring Manager,</w:t>
        <w:br/>
        <w:br/>
        <w:t>I am excited to apply for the Senior Data Analytics Reporting Analyst - Investment Consultancy &amp; Oversight and Multi-Manager Solutions position at TalentAlly. With my background in data engineering, analytics, and reporting, I am confident I would be a strong addition to your team.</w:t>
        <w:br/>
        <w:br/>
        <w:t>I am particularly impressed by Columbia Threadneedle Investments' commitment to client success and their expansive global reach, which creates a dynamic environment for data-driven insights and innovation.</w:t>
        <w:br/>
        <w:br/>
        <w:t>In my previous roles, I have developed robust data pipelines and reporting workflows that significantly improved efficiency and accuracy. Additionally, I have created targeted customer segmentation models that led to substantial revenue increases, which directly aligns with your need for rigorous investment oversight and high-quality research.</w:t>
        <w:br/>
        <w:br/>
        <w:t>At Shine Masters Cleaning Services, I developed Power BI and Looker workflows that replaced manual reporting, increasing work efficiency by 40%. I also built Python automation for weekly sales and operations reports, saving 8 hours per week and improving reporting accuracy. My experience includes sourcing and validating investment data from multiple platforms, ensuring data quality and accessibility, and partnering with Enterprise Technology teams to enhance data infrastructure. I have also managed data feeds from key providers and collaborated with investment professionals to understand their analytical needs and translate them into effective data solutions.</w:t>
        <w:br/>
        <w:br/>
        <w:t>I am particularly drawn to TalentAlly's mission of fostering an inclusive and performance-based culture, and believe my experience in building and maintaining quantitative models, analytical tools, and performance attribution systems, including applying sound model governance practices,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