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Visualization Engineer opportunity with Tata Consultancy Services. I am interested in this opportunity because of TCS's reputation for delivering high-impact, data-driven solutions at scale. What interests me about working for TCS is its commitment to digital transformation, which inspires me as a data professional dedicated to building tools that turn complex information into strategic advantages. I believe my expertise in Power BI semantic modeling and my ability to bridge the gap between technical data science outputs and executive business strategy would make me a strong candidate for this role. During my professional career, I have approached problems by prioritizing data governance and self-service accessibility. In fact, at Shine Masters, I replaced manual reporting with automated Power BI workflows that standardized organizational KPIs and reduced report discrepancies, directly increasing work efficiency by 40%. Ultimately, I know that the Visualization Engineer role at Tata Consultancy Services would allow me to bring my mastery of DAX and semantic modeling to drive intuitive, self-service experiences for your clients. Additionally, my background in building end-to-end data pipelines enabled me to develop my skills in translating complex model outputs into actionable visualizations. While working on economic data projects, I architected ELT pipelines that fed into structured star schemas, ensuring that downstream reports were not only accurate but performant. This rigorous approach to data quality ensures that the insights I deliver are always reliable and audit-ready. I’m excited by the opportunity to use my background in cloud-based data architecture in working on complex insurance and healthcare analytics at Tata Consultancy Services. I know that my technical proficiency in Power BI and my analytical mindset align with what it takes to succeed in the Visualization Engineer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