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Engineer opportunity with Thesis Care. I am interested in this opportunity because of your innovative approach to combining AI agents with clinical expertise to solve critical scalability issues in healthcare. What interests me about working for Thesis Care is your mission to radically increase access to high-quality care; as a builder who thrives in ambiguity, I am inspired by the potential for data engineering to directly impact patient outcomes. I believe my expertise in building scalable ELT pipelines and my proficiency in Python and SQL would make me a strong candidate for this role. During my professional career, I have approached complex data problems by prioritizing both technical scalability and data integrity. In fact, while building the FRED Economic Batch Pipeline, I architected a production-grade ELT system that ingested, transformed, and validated large-scale datasets into a star schema using Python, Airflow, and dbt. This project resulted in a significant reduction in query latency and established a reliable data foundation for advanced analytics. Ultimately, I know that the Data Engineer role at Thesis Care would allow me to bring my experience in modern data architecture to build the foundational data layers for your AI agents. Additionally, my role as a Full-Stack Software Developer at Haven Technologies enabled me to develop my skills in cross-functional collaboration and API integration. During my time there, I worked closely with stakeholders to synchronize data across systems, which improved overall data accuracy by 60% and directly supported front-end feature adoption. I’m excited by the opportunity to use my background in cloud-based data modeling to help Thesis Care scale its clinical operations. I know that my technical foundation and passion for healthcare data infrastructure align with what it takes to succeed at the Data Engineer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