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Staff Data Engineer opportunity with Twenty. I am interested in this opportunity because of Twenty’s unique position at the intersection of cyber operations and national security; I am deeply motivated by the challenge of building durable, high-performance data infrastructure that directly supports the defense of democratic institutions. What interests me about working for Twenty is your mission-driven, pragmatic approach to solving complex engineering problems under high-stakes conditions. I believe my expertise in architecting production-grade ETL pipelines and my proficiency in advanced data modeling would make me a strong candidate for this role. During my professional career, I have approached problems by prioritizing reliability, data lineage, and operational excellence. In fact, while building the FRED Economic Batch Pipeline, I developed an end-to-end ELT system using Python, Airflow, and dbt that incorporated automated data quality checks via Great Expectations. This system replaced manual, error-prone processes, ultimately reducing analyst query times through sophisticated partitioning and clustering strategies. I am confident that the Staff Data Engineer role at Twenty would allow me to bring my technical rigor to the development of your cyber operations data lake. Additionally, my role as a Full-Stack Software Developer at Haven Technologies (MassMutual) enabled me to develop my cross-functional collaboration skills. I worked closely with engineers and product stakeholders to extract complex data from REST APIs and relational databases, ensuring that front-end feature development was supported by clean, high-accuracy datasets. By synchronizing data across systems, I drove a 60% improvement in data accuracy. I’m excited by the opportunity to use my experience in data architecture to support mission-critical work on your data lake and query patterns. I know that my proficiency in building resilient, production-grade systems and my collaborative, mentorship-oriented mindset align with what it takes to succeed as a Staff Data Engineer at Twenty.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