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Analyst, Financial Planning &amp; Analysis opportunity with Uncommon Schools. I am interested in this opportunity because of my deep commitment to education equity and my desire to apply rigorous data analysis to support organizations that provide exceptional K-12 schooling to disadvantaged communities. What interests me about working for Uncommon Schools is your dedication to closing the college completion gap, which inspires me because I believe that data-driven resource allocation is essential to scaling such meaningful impact. I believe my advanced financial modeling capabilities and my experience in automating complex reporting workflows would make me a strong candidate for this role. During my professional career, I have approached problems by translating raw, complex data into strategic business insights. In fact, at Shine Masters, I developed interactive dashboards to replace manual reporting and created time-series models that drove a 300% increase in new customer acquisition. By identifying high-value segments and optimizing operational workflows, I was able to reallocate resources toward our most profitable growth drivers, a skill directly applicable to the strategic modeling needs at Uncommon Schools. Ultimately, I know that the Senior Analyst, Financial Planning &amp; Analysis role at Uncommon Schools would allow me to bring my technical expertise in SQL and Python to streamline your financial reporting systems. Additionally, my role as a Data Analyst at Shine Masters enabled me to develop my cross-functional collaboration skills. I led the transition from manual processing to automated workflows, which involved coordinating with multiple departments to ensure data accuracy and standardizing SOPs. This resulted in a 40% reduction in data processing time and significantly improved the speed of executive decision-making. I’m excited by the opportunity to use my ability to communicate complex data findings to non-technical stakeholders in working on financial planning and performance monitoring at Uncommon Schools. I know that my financial modeling expertise and my focus on operational automation align with what it takes to succeed at the Senior Analyst, Financial Planning &amp; Analysis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