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CRM &amp; Client Development Analyst opportunity with Vacheron Constantin. I am interested in this opportunity because of the brand’s storied dedication to heritage and its commitment to delivering a truly bespoke, high-touch luxury client experience. What interests me about working for Vacheron Constantin is its pursuit of mechanical perfection and artistic excellence; the intersection of tradition and modern innovation in your clienteling strategies inspires me. I believe my background in data-driven client segmentation and my proficiency in CRM systems and BI tools would make me a strong candidate for this role. During my professional career, I have approached problems by translating complex datasets into actionable operational improvements. In fact, while at Shine Masters, I identified that our client onboarding and tracking were fragmented; I implemented an automated workflow and integrated Power BI dashboards to consolidate our data. This resulted in a 40% reduction in data processing time and a 300% increase in new customer acquisition through better-targeted marketing segments. Ultimately, I know that the CRM &amp; Client Development Analyst role at Vacheron Constantin would allow me to bring my analytical rigor to drive boutique-level performance tracking. Additionally, my role as a Data Analyst &amp; Operations Lead enabled me to develop my stakeholder management skills. When faced with inconsistent reporting across departments, I initiated a documentation project to align our data capture standards and SOPs. This led to a 50% reduction in new hire onboarding time and ensured that every team member maintained the same high standard of data integrity, a skill set I am eager to apply to your CRM data excellence initiatives. I’m excited by the opportunity to use my technical expertise in SQL and Python to support your campaign measurement and boutique enablement at Vacheron Constantin. I know that my analytical mindset and dedication to operational excellence align with what it takes to succeed at the CRM &amp; Client Development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