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Sr Consumer Banking Business Analyst opportunity with Valley Bank. I am interested in this opportunity because of Valley Bank’s 100-year history of fostering growth and the commitment to empowering associates to build a meaningful professional legacy. What interests me about working for Valley Bank is its focus on being a relationship-centered institution, which inspires me because I thrive in environments where data is used to build trust and fuel long-term client success. I believe my expertise in advanced dashboarding and my ability to translate complex data into executive-ready narratives would make me a strong candidate for this role. During my professional career, I have approached problems by prioritizing clear communication between technical teams and business stakeholders. In fact, while at Shine Masters, I identified a bottleneck in client onboarding and utilized data modeling to optimize the workflow, which directly resulted in an 8-hour weekly time saving and allowed leadership to reallocate focus toward high-impact customer acquisition. Ultimately, I know that the Sr Consumer Banking Business Analyst role at Valley Bank would allow me to bring my data visualization skills to the goal of driving performance transparency. Additionally, my role as a Data Analyst at Shine Masters enabled me to develop my forecasting and performance tracking skills. When tasked with identifying high-value customer segments, I utilized time series analysis to identify trends, which led to a 300% increase in new customer acquisition over 12 months. I’m excited by the opportunity to use my background in model interpretation and business judgment in working on strategic performance reviews at Valley Bank. I know that my analytical toolkit and my collaborative mindset align with what it takes to succeed at the Sr Consumer Banking Business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