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Reconciliation Analyst opportunity with Victaulic. I am interested in this opportunity because of my deep commitment to data integrity and process optimization. What interests me about working for Victaulic is its industry-leading approach to dynamic pricing and its reputation for operational excellence; this approach inspires me because I thrive in high-volume environments where data precision directly impacts the bottom line. I believe my advanced proficiency in Excel and SQL, combined with my experience in cross-functional collaboration, would make me a strong candidate for this role. During my professional career, I have approached complex data challenges with a focus on accuracy and efficiency. In fact, at Shine Masters, I identified a need for automated reporting and subsequently developed interactive dashboards that replaced manual data entry processes. By cleaning and standardizing datasets, I improved data processing efficiency by 40%, a result that mirrors the impact I aim to bring to the reconciliation and claims processing workflows at Victaulic. Ultimately, I know that the Reconciliation Analyst role at Victaulic would allow me to bring my analytical rigor to the auditing of pricing claims. Additionally, my role as a Data Analyst at Shine Masters enabled me to develop my stakeholder management skills. When onboarding new processes, I coordinated with multiple departments to ensure SOPs were clear and that data flows remained consistent. This initiative reduced new hire training time by 50% and ensured reliable reporting for executive leadership. I’m excited by the opportunity to use my background in Python and SQL to assist in the research and resolution of chargeback claims at Victaulic. I know that my technical problem-solving and organizational skills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