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opportunity with Walton Isaacson. I am interested in this opportunity because of the agency's reputation for fostering high-level collaborative partnerships and its commitment to a culture where diverse, authentic voices drive creative and operational success. What interests me about working for Walton Isaacson is its innovative, client-centric approach to business development, which aligns perfectly with my background in supporting C-level growth initiatives. I believe my advanced expertise in complex calendar management and my proactive, solutions-oriented approach to operational efficiency would make me a strong candidate for this role. During my professional career, I have approached complex scheduling challenges with a focus on precision and foresight. In fact, at Direct Clean Solutions, I managed the calendars for the CEO, CFO, and COO across multiple time zones, including coordinating high-stakes international travel and board-level presentations. As a result, I reduced scheduling conflicts by 25% and ensured leadership was fully prepped for every engagement, allowing them to remain focused on core business strategies. Ultimately, I know that the Executive Assistant role at Walton Isaacson would allow me to bring my mastery of Microsoft Office and executive-level coordination to facilitate the Executive Leadership Team's daily success. Additionally, my role as an Executive Administrative Assistant at Direct Clean Solutions enabled me to develop my process improvement skills. I identified gaps in document management and implemented a digital system that reduced retrieval time by 50%, while concurrently managing vendor relationships to maintain facility compliance. This experience in driving organizational structure directly translates to the 'operational excellence' requirements of your team. I’m excited by the opportunity to use my ability to anticipate leadership needs in working on the fast-paced, multi-stakeholder projects at Walton Isaacson. I know that my background in executive support and my dedication to professional discretion align with what it takes to succeed at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