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automated reporting frameworks for inventory and promotional performance, facilitating self-service analytics for cross-functional stakeholders and reducing manual data requests by 40%.</w:t>
        <w:br/>
      </w:r>
    </w:p>
    <w:p>
      <w:r>
        <w:rPr>
          <w:rFonts w:ascii="Times New Roman" w:hAnsi="Times New Roman"/>
          <w:sz w:val="20"/>
        </w:rPr>
        <w:br/>
        <w:t>• Optimized data workflows in Snowflake and SQL to analyze retail sales and merchandising trends, ensuring high reporting accuracy for critical inventory KPIs.</w:t>
        <w:br/>
      </w:r>
    </w:p>
    <w:p>
      <w:r>
        <w:rPr>
          <w:rFonts w:ascii="Times New Roman" w:hAnsi="Times New Roman"/>
          <w:sz w:val="20"/>
        </w:rPr>
        <w:br/>
        <w:t>• Led data-driven initiatives to categorize customer segments, directly influencing merchandising strategies and optimizing promotional planning in a fast-paced retail-oriented environment.</w:t>
        <w:br/>
      </w:r>
    </w:p>
    <w:p>
      <w:r>
        <w:rPr>
          <w:rFonts w:ascii="Times New Roman" w:hAnsi="Times New Roman"/>
          <w:sz w:val="20"/>
        </w:rPr>
        <w:br/>
        <w:t>• Implemented automated monitoring and validation scripts for large datasets, ensuring reporting accuracy across multiple BI platforms for leadership decision-making.</w:t>
        <w:br/>
      </w:r>
    </w:p>
    <w:p>
      <w:r>
        <w:rPr>
          <w:rFonts w:ascii="Times New Roman" w:hAnsi="Times New Roman"/>
          <w:sz w:val="20"/>
        </w:rPr>
        <w:br/>
        <w:t>• Designed and executed end-to-end ETL pipelines in Snowflake, transforming complex raw data into actionable merchandising insights that informed high-level inventory and pricing strategies.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