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Examined and interpreted large, complex datasets within the healthcare insurance domain to uncover rebate performance gaps and actual-to-expected variances, surfacing insights that drive strategic decisions.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stakeholders, including actuarial and underwriting teams, to deeply understand business priorities and deliver precise, decision-ready analytical outputs on time.</w:t>
        <w:br/>
      </w:r>
    </w:p>
    <w:p>
      <w:r>
        <w:rPr>
          <w:rFonts w:ascii="Times New Roman" w:hAnsi="Times New Roman"/>
          <w:sz w:val="20"/>
        </w:rPr>
        <w:br/>
        <w:t>• Crafted polished summaries, exhibits, and meticulously documented analytical outputs adhering to the highest standards of analytical integrity, ensuring all work is reproducible and delivered on schedule for client-facing teams and senior leadership.</w:t>
        <w:br/>
      </w:r>
    </w:p>
    <w:p>
      <w:r>
        <w:rPr>
          <w:rFonts w:ascii="Times New Roman" w:hAnsi="Times New Roman"/>
          <w:sz w:val="20"/>
        </w:rPr>
        <w:br/>
        <w:t>• Responded rapidly to ad hoc analytical needs, from market events to high-stakes client inquiries, delivering rigorous, well-supported findings under tight timelines with a focus on client-facing deliverables.</w:t>
        <w:br/>
      </w:r>
    </w:p>
    <w:p>
      <w:r>
        <w:rPr>
          <w:rFonts w:ascii="Times New Roman" w:hAnsi="Times New Roman"/>
          <w:sz w:val="20"/>
        </w:rPr>
        <w:br/>
        <w:t>• Championed continuous improvement by identifying opportunities to sharpen analytical processes and adopt better tooling for healthcare financial modeling and rebate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