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lean data pipelines, utilizing Python and SQL to automate data ingestion and transformation with minimal manual intervention, ensuring high-quality outputs for cross-functional stakeholders.</w:t>
        <w:br/>
      </w:r>
    </w:p>
    <w:p>
      <w:r>
        <w:rPr>
          <w:rFonts w:ascii="Times New Roman" w:hAnsi="Times New Roman"/>
          <w:sz w:val="20"/>
        </w:rPr>
        <w:br/>
        <w:t>• Contributed to GTM strategy formulation by analyzing customer segments and marketing performance data, directly informing initiatives that drove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Integrated AI tools including Claude, ChatGPT, and automated research platforms to streamline data extraction protocols and conduct rapid market research on competitive landscape mapping.</w:t>
        <w:br/>
      </w:r>
    </w:p>
    <w:p>
      <w:r>
        <w:rPr>
          <w:rFonts w:ascii="Times New Roman" w:hAnsi="Times New Roman"/>
          <w:sz w:val="20"/>
        </w:rPr>
        <w:br/>
        <w:t>• Applied rigorous research and data analysis methodologies to identify trends in impact measurement, successfully bridging the gap between raw beneficiary data and actionable social impact insights.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align project deliverables with business objectives, applying stakeholder mapping principles to ensure product development met the specific needs of end-users.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