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Extracted and transformed high-volume transaction data from REST APIs and relational banking-style databases, ensuring data integrity for downstream financial analytics.</w:t>
        <w:br/>
      </w:r>
    </w:p>
    <w:p>
      <w:r>
        <w:rPr>
          <w:rFonts w:ascii="Times New Roman" w:hAnsi="Times New Roman"/>
          <w:sz w:val="20"/>
        </w:rPr>
        <w:br/>
        <w:t>• Engineered scalable data pipelines capable of processing large-scale financial datasets, ensuring high availability and compliance with internal data governance standards.</w:t>
        <w:br/>
      </w:r>
    </w:p>
    <w:p>
      <w:r>
        <w:rPr>
          <w:rFonts w:ascii="Times New Roman" w:hAnsi="Times New Roman"/>
          <w:sz w:val="20"/>
        </w:rPr>
        <w:br/>
        <w:t>• Implemented automated data quality checks and validation protocols (Great Expectations) to support risk-monitoring and ensure accuracy for regulatory reporting requirements.</w:t>
        <w:br/>
      </w:r>
    </w:p>
    <w:p>
      <w:r>
        <w:rPr>
          <w:rFonts w:ascii="Times New Roman" w:hAnsi="Times New Roman"/>
          <w:sz w:val="20"/>
        </w:rPr>
        <w:br/>
        <w:t>• Integrated multi-cloud strategies by deploying data workflows on GCP while architecting cross-platform data ingestion processes compatible with AWS storage environments.</w:t>
        <w:br/>
      </w:r>
    </w:p>
    <w:p>
      <w:r>
        <w:rPr>
          <w:rFonts w:ascii="Times New Roman" w:hAnsi="Times New Roman"/>
          <w:sz w:val="20"/>
        </w:rPr>
        <w:br/>
        <w:t>• Developed robust data models in dbt to aggregate transaction logs, facilitating faster insight generation for fraud detection and operational risk assessment.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