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modeling and machine learning frameworks to analyze customer lifetime value, translating output into actionable growth strategies that improved retention.</w:t>
        <w:br/>
      </w:r>
    </w:p>
    <w:p>
      <w:r>
        <w:rPr>
          <w:rFonts w:ascii="Times New Roman" w:hAnsi="Times New Roman"/>
          <w:sz w:val="20"/>
        </w:rPr>
        <w:br/>
        <w:t>• Designed and executed experimental design protocols, including A/B testing for marketing campaigns, to isolate performance drivers and optimize resource allocation.</w:t>
        <w:br/>
      </w:r>
    </w:p>
    <w:p>
      <w:r>
        <w:rPr>
          <w:rFonts w:ascii="Times New Roman" w:hAnsi="Times New Roman"/>
          <w:sz w:val="20"/>
        </w:rPr>
        <w:br/>
        <w:t>• Integrated P&amp;L impact analysis into operational reporting, enabling leadership to make data-driven decisions regarding unit economics and bottom-line growth.</w:t>
        <w:br/>
      </w:r>
    </w:p>
    <w:p>
      <w:r>
        <w:rPr>
          <w:rFonts w:ascii="Times New Roman" w:hAnsi="Times New Roman"/>
          <w:sz w:val="20"/>
        </w:rPr>
        <w:br/>
        <w:t>• Applied advanced quantitative analysis to evaluate risk-reward trade-offs in lending portfolios, providing strategic recommendations that informed senior management’s financial planning.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