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Orchestrated complex travel for C-suite executives, including managing international itineraries across multiple time zones, securing visas/passports, and coordinating medical/diplomatic clearances for high-stakes global travel.</w:t>
        <w:br/>
      </w:r>
    </w:p>
    <w:p>
      <w:r>
        <w:rPr>
          <w:rFonts w:ascii="Times New Roman" w:hAnsi="Times New Roman"/>
          <w:sz w:val="20"/>
        </w:rPr>
        <w:br/>
        <w:t>• Partnered closely with the Chief of Staff to streamline the Office of the CEO, acting as a primary point of contact for board members, investors, and internal leadership teams to ensure seamless communication.</w:t>
        <w:br/>
      </w:r>
    </w:p>
    <w:p>
      <w:r>
        <w:rPr>
          <w:rFonts w:ascii="Times New Roman" w:hAnsi="Times New Roman"/>
          <w:sz w:val="20"/>
        </w:rPr>
        <w:br/>
        <w:t>• Demonstrated superior judgment under pressure by proactively managing conflicting priorities and navigating high-stakes ambiguity to protect the CEO’s focus and schedule.</w:t>
        <w:br/>
      </w:r>
    </w:p>
    <w:p>
      <w:r>
        <w:rPr>
          <w:rFonts w:ascii="Times New Roman" w:hAnsi="Times New Roman"/>
          <w:sz w:val="20"/>
        </w:rPr>
        <w:br/>
        <w:t>• Collaborated with Talent, Legal, and Finance departments to facilitate document execution, contract approvals, and budget tracking, maintaining strict confidentiality and operational discipline.</w:t>
        <w:br/>
      </w:r>
    </w:p>
    <w:p>
      <w:r>
        <w:rPr>
          <w:rFonts w:ascii="Times New Roman" w:hAnsi="Times New Roman"/>
          <w:sz w:val="20"/>
        </w:rPr>
        <w:br/>
        <w:t>• Leveraged 11+ years of progressive administrative experience to anticipate executive needs, providing high-level support that balances independent decision-making with alignment to organizational mission.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