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multi-channel marketing data (Google Ads, Meta, TikTok) into BigQuery and GA4, utilizing Looker Studio to build comprehensive performance dashboards that increased campaign ROI visibility.</w:t>
        <w:br/>
      </w:r>
    </w:p>
    <w:p>
      <w:r>
        <w:rPr>
          <w:rFonts w:ascii="Times New Roman" w:hAnsi="Times New Roman"/>
          <w:sz w:val="20"/>
        </w:rPr>
        <w:br/>
        <w:t>• Led A/B testing and multivariate analysis on landing page and ad creative performance, delivering actionable insights that optimized media spend and improved conversion rates.</w:t>
        <w:br/>
      </w:r>
    </w:p>
    <w:p>
      <w:r>
        <w:rPr>
          <w:rFonts w:ascii="Times New Roman" w:hAnsi="Times New Roman"/>
          <w:sz w:val="20"/>
        </w:rPr>
        <w:br/>
        <w:t>• Developed forecasting models and attribution frameworks to evaluate campaign efficacy, applying Marketing Mix Modeling (MMM) principles to align media performance with business KPIs.</w:t>
        <w:br/>
      </w:r>
    </w:p>
    <w:p>
      <w:r>
        <w:rPr>
          <w:rFonts w:ascii="Times New Roman" w:hAnsi="Times New Roman"/>
          <w:sz w:val="20"/>
        </w:rPr>
        <w:br/>
        <w:t>• Established robust data governance protocols and taxonomy consistency across CRM and media platforms, ensuring 100% reporting accuracy and reliable tracking via GTM.</w:t>
        <w:br/>
      </w:r>
    </w:p>
    <w:p>
      <w:r>
        <w:rPr>
          <w:rFonts w:ascii="Times New Roman" w:hAnsi="Times New Roman"/>
          <w:sz w:val="20"/>
        </w:rPr>
        <w:br/>
        <w:t>• Mentored junior team members on SQL best practices and data visualization techniques, fostering a culture of technical excellence and process improvement across the analytics team.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