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Optimized SQL data reconciliation workflows to ensure accuracy for middle and back-office operations, maintaining strict SLA requirements for data reporting.</w:t>
        <w:br/>
      </w:r>
    </w:p>
    <w:p>
      <w:r>
        <w:rPr>
          <w:rFonts w:ascii="Times New Roman" w:hAnsi="Times New Roman"/>
          <w:sz w:val="20"/>
        </w:rPr>
        <w:br/>
        <w:t>• Automated the processing of transaction and position data using Python, improving data quality and streamlining operational workflows to meet client-facing deadlines.</w:t>
        <w:br/>
      </w:r>
    </w:p>
    <w:p>
      <w:r>
        <w:rPr>
          <w:rFonts w:ascii="Times New Roman" w:hAnsi="Times New Roman"/>
          <w:sz w:val="20"/>
        </w:rPr>
        <w:br/>
        <w:t>• Leveraged Salesforce CRM to manage client interactions and data inquiries, ensuring timely resolution and high-quality support for stakeholders.</w:t>
        <w:br/>
      </w:r>
    </w:p>
    <w:p>
      <w:r>
        <w:rPr>
          <w:rFonts w:ascii="Times New Roman" w:hAnsi="Times New Roman"/>
          <w:sz w:val="20"/>
        </w:rPr>
        <w:br/>
        <w:t>• Analyzed capital markets and financial datasets using Python and SQL to identify trends, effectively translating complex trade data into actionable insights for internal business partners.</w:t>
        <w:br/>
      </w:r>
    </w:p>
    <w:p>
      <w:r>
        <w:rPr>
          <w:rFonts w:ascii="Times New Roman" w:hAnsi="Times New Roman"/>
          <w:sz w:val="20"/>
        </w:rPr>
        <w:br/>
        <w:t>• Managed cross-functional data governance initiatives to align with industry standards, similar to managing data flow from external financial terminals like Bloomberg.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