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Conducted A/B testing on marketing campaigns, utilizing statistical analysis (including p-values and regression) to measure the impact on conversion and brand awareness.</w:t>
        <w:br/>
      </w:r>
    </w:p>
    <w:p>
      <w:r>
        <w:rPr>
          <w:rFonts w:ascii="Times New Roman" w:hAnsi="Times New Roman"/>
          <w:sz w:val="20"/>
        </w:rPr>
        <w:br/>
        <w:t>• Managed performance of digital marketing campaigns across Meta and YouTube, optimizing media spend against KPIs and delivering reports to stakeholders.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integrate campaign data from platforms like Meta and YouTube to inform strategy and increase marketing ROI.</w:t>
        <w:br/>
      </w:r>
    </w:p>
    <w:p>
      <w:r>
        <w:rPr>
          <w:rFonts w:ascii="Times New Roman" w:hAnsi="Times New Roman"/>
          <w:sz w:val="20"/>
        </w:rPr>
        <w:br/>
        <w:t>• Leveraged statistical methods such as data normalization and regression modeling to refine customer segmentation and enhance brand research initiatives.</w:t>
        <w:br/>
      </w:r>
    </w:p>
    <w:p>
      <w:r>
        <w:rPr>
          <w:rFonts w:ascii="Times New Roman" w:hAnsi="Times New Roman"/>
          <w:sz w:val="20"/>
        </w:rPr>
        <w:br/>
        <w:t>• Managed end-to-end project measurement and planning, utilizing marketing data to drive actionable insights for brand optimization.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