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marketing performance by conducting A/B testing on campaign ad structures and bidding strategies, utilizing statistical methods to drive a 300% increase in customer acquisition.</w:t>
        <w:br/>
      </w:r>
    </w:p>
    <w:p>
      <w:r>
        <w:rPr>
          <w:rFonts w:ascii="Times New Roman" w:hAnsi="Times New Roman"/>
          <w:sz w:val="20"/>
        </w:rPr>
        <w:br/>
        <w:t>• Applied statistical modeling and data mining techniques to analyze 2M+ loan records, identifying key borrower segments and default risk patterns.</w:t>
        <w:br/>
      </w:r>
    </w:p>
    <w:p>
      <w:r>
        <w:rPr>
          <w:rFonts w:ascii="Times New Roman" w:hAnsi="Times New Roman"/>
          <w:sz w:val="20"/>
        </w:rPr>
        <w:br/>
        <w:t>• Leveraged advanced Excel (including VBA for automation) to build standardized reporting templates that reduced data reconciliation time by 40%.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translate complex marketing analytics requirements into actionable business intelligence dashboards, directly influencing high-level strategy.</w:t>
        <w:br/>
      </w:r>
    </w:p>
    <w:p>
      <w:r>
        <w:rPr>
          <w:rFonts w:ascii="Times New Roman" w:hAnsi="Times New Roman"/>
          <w:sz w:val="20"/>
        </w:rPr>
        <w:br/>
        <w:t>• Integrated diverse data sources to perform deep-dive marketing analytics, applying regression-based statistics to forecast campaign ROI and customer lifetime value.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