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Created time series models and performed A/B testing on marketing campaigns to identify high-value customer segments; these initiatives contributed to a 300% increase in new customer acquisition over 12 months.</w:t>
        <w:br/>
      </w:r>
    </w:p>
    <w:p>
      <w:r>
        <w:rPr>
          <w:rFonts w:ascii="Times New Roman" w:hAnsi="Times New Roman"/>
          <w:sz w:val="20"/>
        </w:rPr>
        <w:br/>
        <w:t>• Utilized Python and SQL to conduct digital marketing attribution analysis, measuring campaign performance across social media platforms including Facebook and Instagram to optimize ROI.</w:t>
        <w:br/>
      </w:r>
    </w:p>
    <w:p>
      <w:r>
        <w:rPr>
          <w:rFonts w:ascii="Times New Roman" w:hAnsi="Times New Roman"/>
          <w:sz w:val="20"/>
        </w:rPr>
        <w:br/>
        <w:t>• Leveraged statistical analysis and Excel to support academic-style research projects, transforming complex datasets into actionable insights for city safety initiatives.</w:t>
        <w:br/>
      </w:r>
    </w:p>
    <w:p>
      <w:r>
        <w:rPr>
          <w:rFonts w:ascii="Times New Roman" w:hAnsi="Times New Roman"/>
          <w:sz w:val="20"/>
        </w:rPr>
        <w:br/>
        <w:t>• Built and maintained automated dashboards in Power BI, incorporating VBA for advanced reporting automation to streamline recurring data processing tasks.</w:t>
        <w:br/>
      </w:r>
    </w:p>
    <w:p>
      <w:r>
        <w:rPr>
          <w:rFonts w:ascii="Times New Roman" w:hAnsi="Times New Roman"/>
          <w:sz w:val="20"/>
        </w:rPr>
        <w:br/>
        <w:t>• Applied rigorous A/B testing methodologies to evaluate the efficacy of different marketing creative and messaging strategies, directly informing future lead generation tactics.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