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predictive models and performed A/B testing on marketing campaign performance to optimize customer acquisition strategies, resulting in a 300% increase in new customer growth.</w:t>
        <w:br/>
      </w:r>
    </w:p>
    <w:p>
      <w:r>
        <w:rPr>
          <w:rFonts w:ascii="Times New Roman" w:hAnsi="Times New Roman"/>
          <w:sz w:val="20"/>
        </w:rPr>
        <w:br/>
        <w:t>• Built and automated complex ETL pipelines to integrate data from Facebook, Google Ads, and Salesforce, ensuring real-time reporting for campaign measurement and performance optimization.</w:t>
        <w:br/>
      </w:r>
    </w:p>
    <w:p>
      <w:r>
        <w:rPr>
          <w:rFonts w:ascii="Times New Roman" w:hAnsi="Times New Roman"/>
          <w:sz w:val="20"/>
        </w:rPr>
        <w:br/>
        <w:t>• Applied advanced machine learning techniques in Python, including regression and classification models, to analyze loan portfolio risk and support high-stakes business decision-making.</w:t>
        <w:br/>
      </w:r>
    </w:p>
    <w:p>
      <w:r>
        <w:rPr>
          <w:rFonts w:ascii="Times New Roman" w:hAnsi="Times New Roman"/>
          <w:sz w:val="20"/>
        </w:rPr>
        <w:br/>
        <w:t>• Translated complex operational and marketing datasets into strategic insights by leveraging advanced statistical analysis and modeling techniques to identify growth opportunities.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design data-driven experiments, utilizing SQL and Python to analyze search and display ad performance metrics for continuous campaign improvement.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