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Created time series models and conducted A/B testing on marketing campaigns to identify high-value customer segments; initiatives informed by these experiments contributed to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Utilized Python and SQL to conduct rigorous marketing analytics, analyzing campaign performance and customer lifetime value metrics to provide actionable business recommendations.</w:t>
        <w:br/>
      </w:r>
    </w:p>
    <w:p>
      <w:r>
        <w:rPr>
          <w:rFonts w:ascii="Times New Roman" w:hAnsi="Times New Roman"/>
          <w:sz w:val="20"/>
        </w:rPr>
        <w:br/>
        <w:t>• Streamlined data reporting processes by migrating manual Excel tasks to automated workflows using VBA, reducing reporting turnaround time by 40%.</w:t>
        <w:br/>
      </w:r>
    </w:p>
    <w:p>
      <w:r>
        <w:rPr>
          <w:rFonts w:ascii="Times New Roman" w:hAnsi="Times New Roman"/>
          <w:sz w:val="20"/>
        </w:rPr>
        <w:br/>
        <w:t>• Performed experimental design and statistical analysis on marketing initiatives to validate campaign effectiveness and optimize channel spend.</w:t>
        <w:br/>
      </w:r>
    </w:p>
    <w:p>
      <w:r>
        <w:rPr>
          <w:rFonts w:ascii="Times New Roman" w:hAnsi="Times New Roman"/>
          <w:sz w:val="20"/>
        </w:rPr>
        <w:br/>
        <w:t>• Collaborated with product teams to design and execute A/B tests, measuring the impact of UI/UX and feature changes on user engagement and conversion metrics.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