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testing and experimentation frameworks to validate in-market impact, leveraging data to drive methodology standardization across marketing campaigns.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stakeholders—including product managers and business owners—to translate complex findings into actionable business strategies and improved partner-facing solutions.</w:t>
        <w:br/>
      </w:r>
    </w:p>
    <w:p>
      <w:r>
        <w:rPr>
          <w:rFonts w:ascii="Times New Roman" w:hAnsi="Times New Roman"/>
          <w:sz w:val="20"/>
        </w:rPr>
        <w:br/>
        <w:t>• Applied machine learning techniques, such as predictive modeling and customer segmentation, to identify high-value opportunities and optimize long-term business performance.</w:t>
        <w:br/>
      </w:r>
    </w:p>
    <w:p>
      <w:r>
        <w:rPr>
          <w:rFonts w:ascii="Times New Roman" w:hAnsi="Times New Roman"/>
          <w:sz w:val="20"/>
        </w:rPr>
        <w:br/>
        <w:t>• Engineered scalable data pipelines utilizing Python and SQL, consistently applying best practices for data integrity to support reliable decision-making for executive teams.</w:t>
        <w:br/>
      </w:r>
    </w:p>
    <w:p>
      <w:r>
        <w:rPr>
          <w:rFonts w:ascii="Times New Roman" w:hAnsi="Times New Roman"/>
          <w:sz w:val="20"/>
        </w:rPr>
        <w:br/>
        <w:t>• Utilized Salesforce CRM data to derive deeper insights into partner relationships, effectively bridging the gap between raw behavioral data and strategic account development.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