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(using Microsoft SQL Server and PostgreSQL) including window functions to clean insurance testing data, improving data accuracy by 30%.</w:t>
        <w:br/>
      </w:r>
    </w:p>
    <w:p>
      <w:r>
        <w:rPr>
          <w:rFonts w:ascii="Times New Roman" w:hAnsi="Times New Roman"/>
          <w:sz w:val="20"/>
        </w:rPr>
        <w:br/>
        <w:t>• Designed and executed A/B testing frameworks for marketing campaigns, utilizing customer segmentation and statistical analysis to drive a 300% increase in new customer acquisition.</w:t>
        <w:br/>
      </w:r>
    </w:p>
    <w:p>
      <w:r>
        <w:rPr>
          <w:rFonts w:ascii="Times New Roman" w:hAnsi="Times New Roman"/>
          <w:sz w:val="20"/>
        </w:rPr>
        <w:br/>
        <w:t>• Built automated reporting and data extraction pipelines for diverse environments, gaining proficiency in querying varied data structures similar to Vertica and Impala for cross-functional insights.</w:t>
        <w:br/>
      </w:r>
    </w:p>
    <w:p>
      <w:r>
        <w:rPr>
          <w:rFonts w:ascii="Times New Roman" w:hAnsi="Times New Roman"/>
          <w:sz w:val="20"/>
        </w:rPr>
        <w:br/>
        <w:t>• Applied predictive modeling and machine learning techniques within Python (Scikit-Learn) to identify high-value customer segments, directly influencing content strategy and resource prioritization.</w:t>
        <w:br/>
      </w:r>
    </w:p>
    <w:p>
      <w:r>
        <w:rPr>
          <w:rFonts w:ascii="Times New Roman" w:hAnsi="Times New Roman"/>
          <w:sz w:val="20"/>
        </w:rPr>
        <w:br/>
        <w:t>• Collaborated with product teams to design experiments and analyze user behavior, ensuring data integrity and actionable reporting in alignment with business KPIs.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