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A/B testing and controlled experiments to validate in-market initiatives, tracking performance metrics to drive scalable growth across partner accounts.</w:t>
        <w:br/>
      </w:r>
    </w:p>
    <w:p>
      <w:r>
        <w:rPr>
          <w:rFonts w:ascii="Times New Roman" w:hAnsi="Times New Roman"/>
          <w:sz w:val="20"/>
        </w:rPr>
        <w:br/>
        <w:t>• Collaborated with regional team leads and cross-functional stakeholders to define data-driven methodology standards, ensuring consistency in experimentation infrastructure and reporting.</w:t>
        <w:br/>
      </w:r>
    </w:p>
    <w:p>
      <w:r>
        <w:rPr>
          <w:rFonts w:ascii="Times New Roman" w:hAnsi="Times New Roman"/>
          <w:sz w:val="20"/>
        </w:rPr>
        <w:br/>
        <w:t>• Engineered scalable data pipelines using Python (Pandas) and SQL, incorporating advanced statistical methods to identify business improvement opportunities for mid-to-long-tail partner segments.</w:t>
        <w:br/>
      </w:r>
    </w:p>
    <w:p>
      <w:r>
        <w:rPr>
          <w:rFonts w:ascii="Times New Roman" w:hAnsi="Times New Roman"/>
          <w:sz w:val="20"/>
        </w:rPr>
        <w:br/>
        <w:t>• Developed robust data modeling techniques for large-scale datasets, bridging technical requirements with business strategy to provide actionable insights for global partner development.</w:t>
        <w:br/>
      </w:r>
    </w:p>
    <w:p>
      <w:r>
        <w:rPr>
          <w:rFonts w:ascii="Times New Roman" w:hAnsi="Times New Roman"/>
          <w:sz w:val="20"/>
        </w:rPr>
        <w:br/>
        <w:t>• Leveraged advanced analytical tools including R and Tableau to communicate complex experimental results and market trends to diverse global stakeholders, facilitating informed decision-making.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