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Developed and executed A/B testing frameworks for marketing campaigns, utilizing hypothesis testing to validate performance improvements and drive a 300% increase in customer acquisition.</w:t>
        <w:br/>
      </w:r>
    </w:p>
    <w:p>
      <w:r>
        <w:rPr>
          <w:rFonts w:ascii="Times New Roman" w:hAnsi="Times New Roman"/>
          <w:sz w:val="20"/>
        </w:rPr>
        <w:br/>
        <w:t>• Applied statistical modeling techniques, including linear regression and segmentation analysis, to predict borrower default risk and optimize lending portfolio strategy.</w:t>
        <w:br/>
      </w:r>
    </w:p>
    <w:p>
      <w:r>
        <w:rPr>
          <w:rFonts w:ascii="Times New Roman" w:hAnsi="Times New Roman"/>
          <w:sz w:val="20"/>
        </w:rPr>
        <w:br/>
        <w:t>• Leveraged machine learning concepts to segment high-value customer populations, implementing data-driven logic that improved targeting precision and team efficiency by 25%.</w:t>
        <w:br/>
      </w:r>
    </w:p>
    <w:p>
      <w:r>
        <w:rPr>
          <w:rFonts w:ascii="Times New Roman" w:hAnsi="Times New Roman"/>
          <w:sz w:val="20"/>
        </w:rPr>
        <w:br/>
        <w:t>• Performed rigorous hypothesis testing and statistical analysis on project data to identify performance drivers, enabling actionable, data-backed recommendations for executive stakeholders.</w:t>
        <w:br/>
      </w:r>
    </w:p>
    <w:p>
      <w:r>
        <w:rPr>
          <w:rFonts w:ascii="Times New Roman" w:hAnsi="Times New Roman"/>
          <w:sz w:val="20"/>
        </w:rPr>
        <w:br/>
        <w:t>• Automated data collection and validation processes for large-scale datasets, incorporating predictive logic and regression analysis to forecast operational KPIs and drive continuous improvement.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