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Spearheaded A/B testing initiatives for marketing campaigns, utilizing Python and statistical analysis to evaluate audience response and optimize ad performance by 15%.</w:t>
        <w:br/>
      </w:r>
    </w:p>
    <w:p>
      <w:r>
        <w:rPr>
          <w:rFonts w:ascii="Times New Roman" w:hAnsi="Times New Roman"/>
          <w:sz w:val="20"/>
        </w:rPr>
        <w:br/>
        <w:t>• Developed and deployed machine learning classification models to predict customer churn and lifetime value, enabling more targeted marketing spend.</w:t>
        <w:br/>
      </w:r>
    </w:p>
    <w:p>
      <w:r>
        <w:rPr>
          <w:rFonts w:ascii="Times New Roman" w:hAnsi="Times New Roman"/>
          <w:sz w:val="20"/>
        </w:rPr>
        <w:br/>
        <w:t>• Integrated advanced statistical methodologies into operational reporting, using Python-based libraries to perform rigorous data mining and trend analysis.</w:t>
        <w:br/>
      </w:r>
    </w:p>
    <w:p>
      <w:r>
        <w:rPr>
          <w:rFonts w:ascii="Times New Roman" w:hAnsi="Times New Roman"/>
          <w:sz w:val="20"/>
        </w:rPr>
        <w:br/>
        <w:t>• Automated complex performance reporting pipelines by migrating legacy Excel processes to Python, ensuring data accuracy and scalability for marketing stakeholders.</w:t>
        <w:br/>
      </w:r>
    </w:p>
    <w:p>
      <w:r>
        <w:rPr>
          <w:rFonts w:ascii="Times New Roman" w:hAnsi="Times New Roman"/>
          <w:sz w:val="20"/>
        </w:rPr>
        <w:br/>
        <w:t>• Conducted high-impact data analysis on customer behavior to support cross-functional decision-making, applying principles of experimental design to improve conversion rates.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