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A/B testing initiatives for marketing campaigns by designing experiment frameworks, resulting in a 300% increase in customer acquisition through rigorous performance optimization.</w:t>
        <w:br/>
      </w:r>
    </w:p>
    <w:p>
      <w:r>
        <w:rPr>
          <w:rFonts w:ascii="Times New Roman" w:hAnsi="Times New Roman"/>
          <w:sz w:val="20"/>
        </w:rPr>
        <w:br/>
        <w:t>• Mentored junior team members on data best practices, fostering a culture of knowledge sharing and improving team-wide technical competency in SQL and data modeling.</w:t>
        <w:br/>
      </w:r>
    </w:p>
    <w:p>
      <w:r>
        <w:rPr>
          <w:rFonts w:ascii="Times New Roman" w:hAnsi="Times New Roman"/>
          <w:sz w:val="20"/>
        </w:rPr>
        <w:br/>
        <w:t>• Executed end-to-end campaign measurement across social and search channels, utilizing advanced statistical analysis to derive insights that directly informed marketing budget allocation.</w:t>
        <w:br/>
      </w:r>
    </w:p>
    <w:p>
      <w:r>
        <w:rPr>
          <w:rFonts w:ascii="Times New Roman" w:hAnsi="Times New Roman"/>
          <w:sz w:val="20"/>
        </w:rPr>
        <w:br/>
        <w:t>• Developed predictive modeling for customer lifetime value (CLV) optimization, leveraging Python and SQL to build robust frameworks that guide executive strategic decision-making.</w:t>
        <w:br/>
      </w:r>
    </w:p>
    <w:p>
      <w:r>
        <w:rPr>
          <w:rFonts w:ascii="Times New Roman" w:hAnsi="Times New Roman"/>
          <w:sz w:val="20"/>
        </w:rPr>
        <w:br/>
        <w:t>• Enhanced data accessibility by building advanced automated reporting tools in Tableau and Power BI, replacing legacy workflows and providing granular visibility into multi-channel campaign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