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Developed automated data pipelines using Python (Pandas) and SQL, and conducted A/B experimentation and multivariate testing to validate marketing initiatives, resulting in a 300% increase in customer acquisition.</w:t>
        <w:br/>
      </w:r>
    </w:p>
    <w:p>
      <w:r>
        <w:rPr>
          <w:rFonts w:ascii="Times New Roman" w:hAnsi="Times New Roman"/>
          <w:sz w:val="20"/>
        </w:rPr>
        <w:br/>
        <w:t>• Engineered predictive machine learning models to identify high-value customer segments, applying statistical rigor to forecast trends and improve business decision-making by 25%.</w:t>
        <w:br/>
      </w:r>
    </w:p>
    <w:p>
      <w:r>
        <w:rPr>
          <w:rFonts w:ascii="Times New Roman" w:hAnsi="Times New Roman"/>
          <w:sz w:val="20"/>
        </w:rPr>
        <w:br/>
        <w:t>• Built and maintained comprehensive Business Intelligence (BI) dashboards in Tableau and Power BI, providing real-time tracking of KPIs to support cross-functional stakeholders in Partner Development.</w:t>
        <w:br/>
      </w:r>
    </w:p>
    <w:p>
      <w:r>
        <w:rPr>
          <w:rFonts w:ascii="Times New Roman" w:hAnsi="Times New Roman"/>
          <w:sz w:val="20"/>
        </w:rPr>
        <w:br/>
        <w:t>• Applied advanced quantitative analysis and data mining techniques to identify market opportunities, leveraging Python and SQL to extract actionable insights from large-scale relational datasets.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