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product teams to translate business requirements into product analytics projects, using data-driven insights to monitor user behavior and drive feature enhancements.</w:t>
        <w:br/>
      </w:r>
    </w:p>
    <w:p>
      <w:r>
        <w:rPr>
          <w:rFonts w:ascii="Times New Roman" w:hAnsi="Times New Roman"/>
          <w:sz w:val="20"/>
        </w:rPr>
        <w:br/>
        <w:t>• Developed and managed automated Tableau dashboards to provide business intelligence (BI) for internal stakeholders, improving visibility into core product metrics.</w:t>
        <w:br/>
      </w:r>
    </w:p>
    <w:p>
      <w:r>
        <w:rPr>
          <w:rFonts w:ascii="Times New Roman" w:hAnsi="Times New Roman"/>
          <w:sz w:val="20"/>
        </w:rPr>
        <w:br/>
        <w:t>• Engineered scalable data pipelines and utilized advanced SQL, including window functions and stored procedures, to reconcile large-scale datasets within enterprise-grade relational database environments.</w:t>
        <w:br/>
      </w:r>
    </w:p>
    <w:p>
      <w:r>
        <w:rPr>
          <w:rFonts w:ascii="Times New Roman" w:hAnsi="Times New Roman"/>
          <w:sz w:val="20"/>
        </w:rPr>
        <w:br/>
        <w:t>• Leveraged strong communication skills to present actionable product performance insights to cross-functional leadership, ensuring data-backed strategic decision-making.</w:t>
        <w:br/>
      </w:r>
    </w:p>
    <w:p>
      <w:r>
        <w:rPr>
          <w:rFonts w:ascii="Times New Roman" w:hAnsi="Times New Roman"/>
          <w:sz w:val="20"/>
        </w:rPr>
        <w:br/>
        <w:t>• Led initiatives to standardize product data metrics, ensuring high-quality, consistent data representation for company-wide reporting and strategic planning.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