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Oversaw administrative recordkeeping, including the systematic retention, protection, and retrieval of confidential documents in compliance with agency policies and regulatory standards.</w:t>
        <w:br/>
      </w:r>
    </w:p>
    <w:p>
      <w:r>
        <w:rPr>
          <w:rFonts w:ascii="Times New Roman" w:hAnsi="Times New Roman"/>
          <w:sz w:val="20"/>
        </w:rPr>
        <w:br/>
        <w:t>• Managed database systems for tracking program documentation, ensuring 100% accuracy in data entry and completeness of records for tenant and personnel files.</w:t>
        <w:br/>
      </w:r>
    </w:p>
    <w:p>
      <w:r>
        <w:rPr>
          <w:rFonts w:ascii="Times New Roman" w:hAnsi="Times New Roman"/>
          <w:sz w:val="20"/>
        </w:rPr>
        <w:br/>
        <w:t>• Conducted financial administrative tasks, including reconciling invoices and bank accounts, and preparing detailed budgetary reports to ensure fiscal compliance.</w:t>
        <w:br/>
      </w:r>
    </w:p>
    <w:p>
      <w:r>
        <w:rPr>
          <w:rFonts w:ascii="Times New Roman" w:hAnsi="Times New Roman"/>
          <w:sz w:val="20"/>
        </w:rPr>
        <w:br/>
        <w:t>• Served as a primary liaison between senior management and program stakeholders, fostering professional relationships to ensure seamless coordination of services and documentation.</w:t>
        <w:br/>
      </w:r>
    </w:p>
    <w:p>
      <w:r>
        <w:rPr>
          <w:rFonts w:ascii="Times New Roman" w:hAnsi="Times New Roman"/>
          <w:sz w:val="20"/>
        </w:rPr>
        <w:br/>
        <w:t>• Maintained detailed and accurate case notes and tracking logs, demonstrating a strong ability to manage sensitive information and high-volume administrative workflows.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