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pipelines using Python and SQL, while adopting modern transformation patterns akin to DBT to ensure data consistency and reliability for downstream stakeholders.</w:t>
        <w:br/>
      </w:r>
    </w:p>
    <w:p>
      <w:r>
        <w:rPr>
          <w:rFonts w:ascii="Times New Roman" w:hAnsi="Times New Roman"/>
          <w:sz w:val="20"/>
        </w:rPr>
        <w:br/>
        <w:t>• Designed and conducted rigorous A/B tests to measure product feature efficacy, utilizing statistical methods to validate user engagement trends and inform iterative growth strategies.</w:t>
        <w:br/>
      </w:r>
    </w:p>
    <w:p>
      <w:r>
        <w:rPr>
          <w:rFonts w:ascii="Times New Roman" w:hAnsi="Times New Roman"/>
          <w:sz w:val="20"/>
        </w:rPr>
        <w:br/>
        <w:t>• Spearheaded the development of a centralized data dictionary, implementing rigorous documentation standards to improve data literacy and governance across internal teams.</w:t>
        <w:br/>
      </w:r>
    </w:p>
    <w:p>
      <w:r>
        <w:rPr>
          <w:rFonts w:ascii="Times New Roman" w:hAnsi="Times New Roman"/>
          <w:sz w:val="20"/>
        </w:rPr>
        <w:br/>
        <w:t>• Integrated behavioral tracking tools similar to Amplitude to monitor user event taxonomy, providing deep-dive product analytics to guide feature prioritization and growth initiatives.</w:t>
        <w:br/>
      </w:r>
    </w:p>
    <w:p>
      <w:r>
        <w:rPr>
          <w:rFonts w:ascii="Times New Roman" w:hAnsi="Times New Roman"/>
          <w:sz w:val="20"/>
        </w:rPr>
        <w:br/>
        <w:t>• Leveraged fast-paced startup environments to manage ambiguous project requirements, balancing rapid development cycles with robust data infrastructure improvements.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