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operational compliance scorecards and reporting frameworks, tracking resolution timeframes and quality metrics to ensure adherence to regulatory obligations.</w:t>
        <w:br/>
      </w:r>
    </w:p>
    <w:p>
      <w:r>
        <w:rPr>
          <w:rFonts w:ascii="Times New Roman" w:hAnsi="Times New Roman"/>
          <w:sz w:val="20"/>
        </w:rPr>
        <w:br/>
        <w:t>• Performed root cause and thematic analysis on operational datasets, identifying systemic process failures and translating findings into actionable remediation strategies for leadership.</w:t>
        <w:br/>
      </w:r>
    </w:p>
    <w:p>
      <w:r>
        <w:rPr>
          <w:rFonts w:ascii="Times New Roman" w:hAnsi="Times New Roman"/>
          <w:sz w:val="20"/>
        </w:rPr>
        <w:br/>
        <w:t>• Integrated workforce capacity planning and throughput metrics into management reporting, enabling data-driven resourcing decisions to mitigate service quality risks.</w:t>
        <w:br/>
      </w:r>
    </w:p>
    <w:p>
      <w:r>
        <w:rPr>
          <w:rFonts w:ascii="Times New Roman" w:hAnsi="Times New Roman"/>
          <w:sz w:val="20"/>
        </w:rPr>
        <w:br/>
        <w:t>• Defined and enforced enterprise data standards and field-level conventions across departments, resolving data quality inconsistencies to improve reporting accuracy and regulatory audit readiness.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harmonize complex reporting methodologies, ensuring consistency in data storytelling for regulatory submissions and executive-level presentations.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