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robust data models using star/snowflake schema dimensional modeling techniques, transitioning raw lending data into a structured data warehouse environment for scalable risk analysis.</w:t>
        <w:br/>
      </w:r>
    </w:p>
    <w:p>
      <w:r>
        <w:rPr>
          <w:rFonts w:ascii="Times New Roman" w:hAnsi="Times New Roman"/>
          <w:sz w:val="20"/>
        </w:rPr>
        <w:br/>
        <w:t>• Engineered and automated end-to-end ELT/ETL pipelines utilizing Python and SQL, incorporating data governance best practices to ensure high data freshness and accuracy.</w:t>
        <w:br/>
      </w:r>
    </w:p>
    <w:p>
      <w:r>
        <w:rPr>
          <w:rFonts w:ascii="Times New Roman" w:hAnsi="Times New Roman"/>
          <w:sz w:val="20"/>
        </w:rPr>
        <w:br/>
        <w:t>• Optimized data infrastructure by implementing repeatable workflows, utilizing scheduling tools to orchestrate data movement and reduce latency in reporting.</w:t>
        <w:br/>
      </w:r>
    </w:p>
    <w:p>
      <w:r>
        <w:rPr>
          <w:rFonts w:ascii="Times New Roman" w:hAnsi="Times New Roman"/>
          <w:sz w:val="20"/>
        </w:rPr>
        <w:br/>
        <w:t>• Established comprehensive reporting SOPs and data documentation protocols to standardize self-serve analytics, ensuring consistent and reliable data delivery to stakeholders.</w:t>
        <w:br/>
      </w:r>
    </w:p>
    <w:p>
      <w:r>
        <w:rPr>
          <w:rFonts w:ascii="Times New Roman" w:hAnsi="Times New Roman"/>
          <w:sz w:val="20"/>
        </w:rPr>
        <w:br/>
        <w:t>• Leveraged advanced database architecture concepts, including slowly changing dimensions and optimized join strategies, to support complex analytics across large-scale datasets.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