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Transformed user feedback into production-ready code to address friction points in the UI, driving a 15% increase in feature adoption and enabling seamless vendor AI tool integration.</w:t>
        <w:br/>
      </w:r>
    </w:p>
    <w:p>
      <w:r>
        <w:rPr>
          <w:rFonts w:ascii="Times New Roman" w:hAnsi="Times New Roman"/>
          <w:sz w:val="20"/>
        </w:rPr>
        <w:br/>
        <w:t>• Modeled raw API data into a dbt star schema to optimize query performance, greatly lowering load times through BigQuery partitioning and clustering, and setting the foundation for advanced Snowflake features.</w:t>
        <w:br/>
      </w:r>
    </w:p>
    <w:p>
      <w:r>
        <w:rPr>
          <w:rFonts w:ascii="Times New Roman" w:hAnsi="Times New Roman"/>
          <w:sz w:val="20"/>
        </w:rPr>
        <w:br/>
        <w:t>• Developed Power BI and Looker workflows to replace manual written reporting, reducing data mismatches and improving work efficiency by 40%, demonstrating a proactive approach to eliminating shadow tables.</w:t>
        <w:br/>
      </w:r>
    </w:p>
    <w:p>
      <w:r>
        <w:rPr>
          <w:rFonts w:ascii="Times New Roman" w:hAnsi="Times New Roman"/>
          <w:sz w:val="20"/>
        </w:rPr>
        <w:br/>
        <w:t>• Automated data quality validation with Great Expectations to ensure pipeline reliability, deploying the final solution via a GitHub Actions CI/CD pipeline, ensuring trust for all downstream consumers, human or AI.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