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to clean and reconcile healthcare insurance testing data, ensuring high-fidelity inputs for health informatics systems and improving data accuracy by 30%.</w:t>
        <w:br/>
      </w:r>
    </w:p>
    <w:p>
      <w:r>
        <w:rPr>
          <w:rFonts w:ascii="Times New Roman" w:hAnsi="Times New Roman"/>
          <w:sz w:val="20"/>
        </w:rPr>
        <w:br/>
        <w:t>• Performed exploratory data analysis on 250K+ records, applying population segmentation methods akin to epidemiological trend analysis to identify demographic health disparities and support community-level intervention strategies.</w:t>
        <w:br/>
      </w:r>
    </w:p>
    <w:p>
      <w:r>
        <w:rPr>
          <w:rFonts w:ascii="Times New Roman" w:hAnsi="Times New Roman"/>
          <w:sz w:val="20"/>
        </w:rPr>
        <w:br/>
        <w:t>• Engineered time-series models to identify high-value customer segments, applying statistical techniques relevant to population health management and surveillance systems to predict and influence outcome trends.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integrate disparate healthcare data sources, establishing standardized data pipelines that function as the foundation for clinical decision support and health monitoring.</w:t>
        <w:br/>
      </w:r>
    </w:p>
    <w:p>
      <w:r>
        <w:rPr>
          <w:rFonts w:ascii="Times New Roman" w:hAnsi="Times New Roman"/>
          <w:sz w:val="20"/>
        </w:rPr>
        <w:br/>
        <w:t>• Documented technical data quality assessment frameworks and SOPs for data processing, ensuring clinical-grade accuracy and consistency in reporting and AI model training workflows.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