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Refactored Python-based data processing services to optimize performance and reduce latency, ensuring reliable data delivery for time-sensitive analytical decision-making.</w:t>
        <w:br/>
      </w:r>
    </w:p>
    <w:p>
      <w:r>
        <w:rPr>
          <w:rFonts w:ascii="Times New Roman" w:hAnsi="Times New Roman"/>
          <w:sz w:val="20"/>
        </w:rPr>
        <w:br/>
        <w:t>• Collaborated directly with product and quantitative research stakeholders to design robust software systems that support complex financial data analysis and research workflows.</w:t>
        <w:br/>
      </w:r>
    </w:p>
    <w:p>
      <w:r>
        <w:rPr>
          <w:rFonts w:ascii="Times New Roman" w:hAnsi="Times New Roman"/>
          <w:sz w:val="20"/>
        </w:rPr>
        <w:br/>
        <w:t>• Developed high-performance ETL pipelines for financial datasets, applying rigorous testing and software design patterns to ensure the accuracy and integrity of critical risk management data.</w:t>
        <w:br/>
      </w:r>
    </w:p>
    <w:p>
      <w:r>
        <w:rPr>
          <w:rFonts w:ascii="Times New Roman" w:hAnsi="Times New Roman"/>
          <w:sz w:val="20"/>
        </w:rPr>
        <w:br/>
        <w:t>• Engineered automated systems to manage funding and settlement data, effectively bridging the gap between raw API input and actionable investment insights.</w:t>
        <w:br/>
      </w:r>
    </w:p>
    <w:p>
      <w:r>
        <w:rPr>
          <w:rFonts w:ascii="Times New Roman" w:hAnsi="Times New Roman"/>
          <w:sz w:val="20"/>
        </w:rPr>
        <w:br/>
        <w:t>• Combined advanced Python programming with deep financial data analysis to build systems that drive commercial outcomes and maximize return-on-investment accuracy.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