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Spearheaded data migration strategies by architecting ETL DW processes to transition legacy datasets into cloud-based analytical environments, ensuring high data integrity and consistency.</w:t>
        <w:br/>
      </w:r>
    </w:p>
    <w:p>
      <w:r>
        <w:rPr>
          <w:rFonts w:ascii="Times New Roman" w:hAnsi="Times New Roman"/>
          <w:sz w:val="20"/>
        </w:rPr>
        <w:br/>
        <w:t>• Engineered and automated complex Excel workbooks utilizing macros and advanced pivot tables to validate analytical findings, ensuring 100% data accuracy for cross-functional stakeholders.</w:t>
        <w:br/>
      </w:r>
    </w:p>
    <w:p>
      <w:r>
        <w:rPr>
          <w:rFonts w:ascii="Times New Roman" w:hAnsi="Times New Roman"/>
          <w:sz w:val="20"/>
        </w:rPr>
        <w:br/>
        <w:t>• Collaborated with technical and business stakeholders to validate analytical findings, translating complex dataset trends into clear, compelling reports that drove operational strategy.</w:t>
        <w:br/>
      </w:r>
    </w:p>
    <w:p>
      <w:r>
        <w:rPr>
          <w:rFonts w:ascii="Times New Roman" w:hAnsi="Times New Roman"/>
          <w:sz w:val="20"/>
        </w:rPr>
        <w:br/>
        <w:t>• Developed robust data models and automated pipelines to facilitate the migration of core business datasets to modern AI-ready platforms, supporting advanced machine learning initiatives.</w:t>
        <w:br/>
      </w:r>
    </w:p>
    <w:p>
      <w:r>
        <w:rPr>
          <w:rFonts w:ascii="Times New Roman" w:hAnsi="Times New Roman"/>
          <w:sz w:val="20"/>
        </w:rPr>
        <w:br/>
        <w:t>• Designed and executed comprehensive data validation workflows to ensure the quality of insights, bridging the gap between raw data storage and actionable strategic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