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data from diverse sources including APIs, PostgreSQL, and NoSQL databases to build unified schemas, streamlining development by providing engineers with reliable data structures.</w:t>
        <w:br/>
      </w:r>
    </w:p>
    <w:p>
      <w:r>
        <w:rPr>
          <w:rFonts w:ascii="Times New Roman" w:hAnsi="Times New Roman"/>
          <w:sz w:val="20"/>
        </w:rPr>
        <w:br/>
        <w:t>• Engineered and automated end-to-end ETL pipelines for high-volume datasets using AWS S3, Athena, and Redshift-compatible SQL patterns to facilitate real-time analytics.</w:t>
        <w:br/>
      </w:r>
    </w:p>
    <w:p>
      <w:r>
        <w:rPr>
          <w:rFonts w:ascii="Times New Roman" w:hAnsi="Times New Roman"/>
          <w:sz w:val="20"/>
        </w:rPr>
        <w:br/>
        <w:t>• Developed automated performance monitoring reports and interactive dashboards using Amazon Quicksight and Tableau to drive data-informed decision-making for executive leadership.</w:t>
        <w:br/>
      </w:r>
    </w:p>
    <w:p>
      <w:r>
        <w:rPr>
          <w:rFonts w:ascii="Times New Roman" w:hAnsi="Times New Roman"/>
          <w:sz w:val="20"/>
        </w:rPr>
        <w:br/>
        <w:t>• Applied data engineering best practices to clean, reconcile, and model complex insurance and lending datasets, ensuring high data integrity for cross-functional business intelligence initiatives.</w:t>
        <w:br/>
      </w:r>
    </w:p>
    <w:p>
      <w:r>
        <w:rPr>
          <w:rFonts w:ascii="Times New Roman" w:hAnsi="Times New Roman"/>
          <w:sz w:val="20"/>
        </w:rPr>
        <w:br/>
        <w:t>• Utilized AWS infrastructure (S3, Redshift, Athena) to perform deep-dive analysis on large-scale datasets, translating complex business problems into actionable performance insights.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