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end-to-end automated ETL pipelines using Python and AWS S3 to ingest multi-source data, ensuring high-fidelity schemas for downstream AI/ML model consumption.</w:t>
        <w:br/>
      </w:r>
    </w:p>
    <w:p>
      <w:r>
        <w:rPr>
          <w:rFonts w:ascii="Times New Roman" w:hAnsi="Times New Roman"/>
          <w:sz w:val="20"/>
        </w:rPr>
        <w:br/>
        <w:t>• Built and deployed conversational analytics prototypes using LLM APIs to facilitate self-service, prompt-driven insights for non-technical stakeholders.</w:t>
        <w:br/>
      </w:r>
    </w:p>
    <w:p>
      <w:r>
        <w:rPr>
          <w:rFonts w:ascii="Times New Roman" w:hAnsi="Times New Roman"/>
          <w:sz w:val="20"/>
        </w:rPr>
        <w:br/>
        <w:t>• Optimized relational data models in PostgreSQL and Snowflake, implementing advanced window functions and CTEs to support complex, scalable business intelligence reporting.</w:t>
        <w:br/>
      </w:r>
    </w:p>
    <w:p>
      <w:r>
        <w:rPr>
          <w:rFonts w:ascii="Times New Roman" w:hAnsi="Times New Roman"/>
          <w:sz w:val="20"/>
        </w:rPr>
        <w:br/>
        <w:t>• Led technical documentation and mentorship initiatives for data projects, including the creation of standardized SOPs and Jira workflows to improve cross-functional team productivity.</w:t>
        <w:br/>
      </w:r>
    </w:p>
    <w:p>
      <w:r>
        <w:rPr>
          <w:rFonts w:ascii="Times New Roman" w:hAnsi="Times New Roman"/>
          <w:sz w:val="20"/>
        </w:rPr>
        <w:br/>
        <w:t>• Applied advanced statistical techniques to identify customer trends, translating complex data into executive-ready recommendations and go-to-market strategy refinements.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